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585A778F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4D49B8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0B78F246" w:rsidR="00A33199" w:rsidRPr="001C38C0" w:rsidRDefault="005158B5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5158B5">
              <w:rPr>
                <w:rFonts w:ascii="Calibri" w:hAnsi="Calibri"/>
                <w:sz w:val="22"/>
                <w:lang w:bidi="en-US"/>
              </w:rPr>
              <w:t>Sievertův volumetrický sorpční analyzátor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EF6C83" w14:paraId="0F669AC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B94575A" w14:textId="32E541D8" w:rsidR="00EF6C83" w:rsidRPr="001B0366" w:rsidRDefault="00A53AB8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</w:t>
            </w:r>
            <w:r w:rsidRPr="00A53AB8">
              <w:rPr>
                <w:rFonts w:ascii="Calibri" w:hAnsi="Calibri"/>
                <w:b/>
                <w:sz w:val="22"/>
                <w:szCs w:val="22"/>
              </w:rPr>
              <w:t>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A53AB8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A53AB8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4E7E5C5" w14:textId="3E593F83" w:rsidR="00EF6C83" w:rsidRPr="00F622AB" w:rsidRDefault="00C0373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EF6C83" w14:paraId="7572806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0DA89AF" w14:textId="510C728D" w:rsidR="00EF6C83" w:rsidRPr="001B0366" w:rsidRDefault="00C0373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0373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10466" w14:textId="00E66267" w:rsidR="00EF6C83" w:rsidRPr="00F622AB" w:rsidRDefault="00C0373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5E708DC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A666E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B9F1D" w14:textId="77777777" w:rsidR="00CC637A" w:rsidRDefault="00CC637A" w:rsidP="00161B4F">
      <w:r>
        <w:separator/>
      </w:r>
    </w:p>
  </w:endnote>
  <w:endnote w:type="continuationSeparator" w:id="0">
    <w:p w14:paraId="3F59C8A2" w14:textId="77777777" w:rsidR="00CC637A" w:rsidRDefault="00CC637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32F27" w14:textId="77777777" w:rsidR="00CC637A" w:rsidRDefault="00CC637A" w:rsidP="00161B4F">
      <w:r>
        <w:separator/>
      </w:r>
    </w:p>
  </w:footnote>
  <w:footnote w:type="continuationSeparator" w:id="0">
    <w:p w14:paraId="7EA04384" w14:textId="77777777" w:rsidR="00CC637A" w:rsidRDefault="00CC637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7590B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D49B8"/>
    <w:rsid w:val="004E5558"/>
    <w:rsid w:val="004F3EA3"/>
    <w:rsid w:val="0050253A"/>
    <w:rsid w:val="005158B5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0086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53AB8"/>
    <w:rsid w:val="00A666EE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3736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C637A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C83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1D70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2024-07-26T15:07:00Z</dcterms:modified>
</cp:coreProperties>
</file>